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345938CF" w:rsidR="00E01B71" w:rsidRPr="00F642FF" w:rsidRDefault="007576A5" w:rsidP="00F642FF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F642FF">
              <w:rPr>
                <w:rFonts w:cs="Arial"/>
                <w:b/>
                <w:bCs/>
                <w:sz w:val="18"/>
                <w:szCs w:val="18"/>
              </w:rPr>
              <w:t>ZA23DBD401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F642FF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642F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642F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642FF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F642FF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642FF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E5D58A3" w:rsidR="005550BA" w:rsidRPr="005A45EF" w:rsidRDefault="00F642FF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 xml:space="preserve">Biocommerciale </w:t>
            </w:r>
            <w:r w:rsidR="00AD2248">
              <w:rPr>
                <w:rFonts w:ascii="Verdana" w:hAnsi="Verdana" w:cs="Arial"/>
                <w:sz w:val="14"/>
                <w:szCs w:val="14"/>
                <w:lang w:val="en-US"/>
              </w:rPr>
              <w:t>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72CA75C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F642FF">
              <w:rPr>
                <w:sz w:val="14"/>
                <w:szCs w:val="14"/>
                <w:lang w:val="it-IT"/>
              </w:rPr>
              <w:t>9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8F52D5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248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7778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2023-12-15T07:56:00Z</dcterms:created>
  <dcterms:modified xsi:type="dcterms:W3CDTF">2023-12-15T07:56:00Z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