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0A0AF321" w:rsidR="00E01B71" w:rsidRPr="00E01B71" w:rsidRDefault="007576A5" w:rsidP="00805324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1E669F">
              <w:rPr>
                <w:rFonts w:cs="Arial"/>
                <w:b/>
                <w:bCs/>
                <w:sz w:val="18"/>
                <w:szCs w:val="18"/>
              </w:rPr>
              <w:t>Z853DBCA3A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1E669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E669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E669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E669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1E669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E669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0E9BE9D" w:rsidR="005550BA" w:rsidRPr="005A45EF" w:rsidRDefault="001E669F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Bausch &amp; Lomb – IOM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EA0C7EE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E669F">
              <w:rPr>
                <w:sz w:val="14"/>
                <w:szCs w:val="14"/>
                <w:lang w:val="it-IT"/>
              </w:rPr>
              <w:t>7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2023-12-15T07:51:00Z</dcterms:created>
  <dcterms:modified xsi:type="dcterms:W3CDTF">2023-12-15T07:51:00Z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